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A66FC" w14:textId="77777777" w:rsidR="006B3DBF" w:rsidRDefault="00000000" w:rsidP="008566EC">
      <w:pPr>
        <w:spacing w:before="60" w:after="60"/>
        <w:jc w:val="center"/>
      </w:pPr>
      <w:r>
        <w:rPr>
          <w:noProof/>
        </w:rPr>
        <w:drawing>
          <wp:inline distT="0" distB="0" distL="0" distR="0" wp14:anchorId="2EF04C12" wp14:editId="6878282E">
            <wp:extent cx="6572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57225" cy="657225"/>
                    </a:xfrm>
                    <a:prstGeom prst="rect">
                      <a:avLst/>
                    </a:prstGeom>
                  </pic:spPr>
                </pic:pic>
              </a:graphicData>
            </a:graphic>
          </wp:inline>
        </w:drawing>
      </w:r>
    </w:p>
    <w:p w14:paraId="1E3DB9B3" w14:textId="77777777" w:rsidR="006B3DBF" w:rsidRPr="008566EC" w:rsidRDefault="00000000">
      <w:pPr>
        <w:pStyle w:val="Heading1"/>
        <w:spacing w:line="288" w:lineRule="auto"/>
        <w:jc w:val="center"/>
        <w:rPr>
          <w:lang w:val="fr-BE"/>
        </w:rPr>
      </w:pPr>
      <w:r w:rsidRPr="008566EC">
        <w:rPr>
          <w:rFonts w:ascii="Times New Roman" w:eastAsia="Times New Roman" w:hAnsi="Times New Roman" w:cs="Times New Roman"/>
          <w:b/>
          <w:bCs/>
          <w:color w:val="1A3458"/>
          <w:sz w:val="39"/>
          <w:szCs w:val="39"/>
          <w:lang w:val="fr-BE"/>
        </w:rPr>
        <w:t>Conditions générales de vente</w:t>
      </w:r>
    </w:p>
    <w:p w14:paraId="4109CDF0" w14:textId="77777777" w:rsidR="006B3DBF" w:rsidRPr="008566EC" w:rsidRDefault="00000000">
      <w:pPr>
        <w:spacing w:before="90" w:line="372" w:lineRule="auto"/>
        <w:jc w:val="both"/>
        <w:rPr>
          <w:lang w:val="fr-BE"/>
        </w:rPr>
      </w:pPr>
      <w:r w:rsidRPr="008566EC">
        <w:rPr>
          <w:rFonts w:ascii="Times New Roman" w:eastAsia="Times New Roman" w:hAnsi="Times New Roman" w:cs="Times New Roman"/>
          <w:color w:val="555555"/>
          <w:sz w:val="21"/>
          <w:szCs w:val="21"/>
          <w:lang w:val="fr-BE"/>
        </w:rPr>
        <w:t>Let It Grow SRL — BCE / TVA : BE0733.759.666 — Rue de l’</w:t>
      </w:r>
      <w:proofErr w:type="spellStart"/>
      <w:r w:rsidRPr="008566EC">
        <w:rPr>
          <w:rFonts w:ascii="Times New Roman" w:eastAsia="Times New Roman" w:hAnsi="Times New Roman" w:cs="Times New Roman"/>
          <w:color w:val="555555"/>
          <w:sz w:val="21"/>
          <w:szCs w:val="21"/>
          <w:lang w:val="fr-BE"/>
        </w:rPr>
        <w:t>Escaille</w:t>
      </w:r>
      <w:proofErr w:type="spellEnd"/>
      <w:r w:rsidRPr="008566EC">
        <w:rPr>
          <w:rFonts w:ascii="Times New Roman" w:eastAsia="Times New Roman" w:hAnsi="Times New Roman" w:cs="Times New Roman"/>
          <w:color w:val="555555"/>
          <w:sz w:val="21"/>
          <w:szCs w:val="21"/>
          <w:lang w:val="fr-BE"/>
        </w:rPr>
        <w:t>(sa) 2, 6221 Fleurus, Belgique</w:t>
      </w:r>
    </w:p>
    <w:p w14:paraId="77CFC342"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1 — Objet</w:t>
      </w:r>
    </w:p>
    <w:p w14:paraId="7882BEFF" w14:textId="03854B7A"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Les présentes conditions générales s’appliquent à la relation entre </w:t>
      </w:r>
      <w:r w:rsidRPr="008566EC">
        <w:rPr>
          <w:rFonts w:ascii="Times New Roman" w:eastAsia="Times New Roman" w:hAnsi="Times New Roman" w:cs="Times New Roman"/>
          <w:b/>
          <w:bCs/>
          <w:color w:val="0F1F38"/>
          <w:sz w:val="23"/>
          <w:szCs w:val="23"/>
          <w:lang w:val="fr-BE"/>
        </w:rPr>
        <w:t>Let It Grow SRL</w:t>
      </w:r>
      <w:r w:rsidRPr="008566EC">
        <w:rPr>
          <w:rFonts w:ascii="Times New Roman" w:eastAsia="Times New Roman" w:hAnsi="Times New Roman" w:cs="Times New Roman"/>
          <w:sz w:val="23"/>
          <w:szCs w:val="23"/>
          <w:lang w:val="fr-BE"/>
        </w:rPr>
        <w:t xml:space="preserve">, société à responsabilité limitée inscrite à la Banque-Carrefour des Entreprises sous le numéro </w:t>
      </w:r>
      <w:r w:rsidRPr="008566EC">
        <w:rPr>
          <w:rFonts w:ascii="Times New Roman" w:eastAsia="Times New Roman" w:hAnsi="Times New Roman" w:cs="Times New Roman"/>
          <w:b/>
          <w:bCs/>
          <w:color w:val="0F1F38"/>
          <w:sz w:val="23"/>
          <w:szCs w:val="23"/>
          <w:lang w:val="fr-BE"/>
        </w:rPr>
        <w:t>BE0733.759.666</w:t>
      </w:r>
      <w:r w:rsidRPr="008566EC">
        <w:rPr>
          <w:rFonts w:ascii="Times New Roman" w:eastAsia="Times New Roman" w:hAnsi="Times New Roman" w:cs="Times New Roman"/>
          <w:sz w:val="23"/>
          <w:szCs w:val="23"/>
          <w:lang w:val="fr-BE"/>
        </w:rPr>
        <w:t xml:space="preserve">, dont le siège social est établi </w:t>
      </w:r>
      <w:r w:rsidRPr="008566EC">
        <w:rPr>
          <w:rFonts w:ascii="Times New Roman" w:eastAsia="Times New Roman" w:hAnsi="Times New Roman" w:cs="Times New Roman"/>
          <w:b/>
          <w:bCs/>
          <w:color w:val="0F1F38"/>
          <w:sz w:val="23"/>
          <w:szCs w:val="23"/>
          <w:lang w:val="fr-BE"/>
        </w:rPr>
        <w:t>Rue de l’</w:t>
      </w:r>
      <w:proofErr w:type="spellStart"/>
      <w:r w:rsidRPr="008566EC">
        <w:rPr>
          <w:rFonts w:ascii="Times New Roman" w:eastAsia="Times New Roman" w:hAnsi="Times New Roman" w:cs="Times New Roman"/>
          <w:b/>
          <w:bCs/>
          <w:color w:val="0F1F38"/>
          <w:sz w:val="23"/>
          <w:szCs w:val="23"/>
          <w:lang w:val="fr-BE"/>
        </w:rPr>
        <w:t>Escaille</w:t>
      </w:r>
      <w:proofErr w:type="spellEnd"/>
      <w:r w:rsidRPr="008566EC">
        <w:rPr>
          <w:rFonts w:ascii="Times New Roman" w:eastAsia="Times New Roman" w:hAnsi="Times New Roman" w:cs="Times New Roman"/>
          <w:b/>
          <w:bCs/>
          <w:color w:val="0F1F38"/>
          <w:sz w:val="23"/>
          <w:szCs w:val="23"/>
          <w:lang w:val="fr-BE"/>
        </w:rPr>
        <w:t>(sa) 2, 6221 Fleurus, Belgique</w:t>
      </w:r>
      <w:r w:rsidRPr="008566EC">
        <w:rPr>
          <w:rFonts w:ascii="Times New Roman" w:eastAsia="Times New Roman" w:hAnsi="Times New Roman" w:cs="Times New Roman"/>
          <w:sz w:val="23"/>
          <w:szCs w:val="23"/>
          <w:lang w:val="fr-BE"/>
        </w:rPr>
        <w:t xml:space="preserve"> (ci-après la « Société »), et le Client, tel qu’indiqué dans le </w:t>
      </w:r>
      <w:r w:rsidR="008566EC">
        <w:rPr>
          <w:rFonts w:ascii="Times New Roman" w:eastAsia="Times New Roman" w:hAnsi="Times New Roman" w:cs="Times New Roman"/>
          <w:sz w:val="23"/>
          <w:szCs w:val="23"/>
          <w:lang w:val="fr-BE"/>
        </w:rPr>
        <w:t>Contrat de prestation de services signé</w:t>
      </w:r>
      <w:r w:rsidRPr="008566EC">
        <w:rPr>
          <w:rFonts w:ascii="Times New Roman" w:eastAsia="Times New Roman" w:hAnsi="Times New Roman" w:cs="Times New Roman"/>
          <w:sz w:val="23"/>
          <w:szCs w:val="23"/>
          <w:lang w:val="fr-BE"/>
        </w:rPr>
        <w:t>.</w:t>
      </w:r>
    </w:p>
    <w:p w14:paraId="4AE63EF0"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Société et le Client sont ci-après dénommés ensemble les « Parties » et individuellement une « Partie ».</w:t>
      </w:r>
    </w:p>
    <w:p w14:paraId="7E09523A"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présentes conditions générales ont pour objet de définir les conditions dans lesquelles la Société permet au Client :</w:t>
      </w:r>
    </w:p>
    <w:p w14:paraId="46A4817E"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de</w:t>
      </w:r>
      <w:proofErr w:type="gramEnd"/>
      <w:r w:rsidRPr="008566EC">
        <w:rPr>
          <w:rFonts w:ascii="Times New Roman" w:eastAsia="Times New Roman" w:hAnsi="Times New Roman" w:cs="Times New Roman"/>
          <w:sz w:val="23"/>
          <w:szCs w:val="23"/>
          <w:lang w:val="fr-BE"/>
        </w:rPr>
        <w:t xml:space="preserve"> vendre ses Produits et d’optimiser sa stratégie de distribution sur les Plateformes de vente ;</w:t>
      </w:r>
    </w:p>
    <w:p w14:paraId="30089385"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de</w:t>
      </w:r>
      <w:proofErr w:type="gramEnd"/>
      <w:r w:rsidRPr="008566EC">
        <w:rPr>
          <w:rFonts w:ascii="Times New Roman" w:eastAsia="Times New Roman" w:hAnsi="Times New Roman" w:cs="Times New Roman"/>
          <w:sz w:val="23"/>
          <w:szCs w:val="23"/>
          <w:lang w:val="fr-BE"/>
        </w:rPr>
        <w:t xml:space="preserve"> soutenir l’augmentation des ventes de ses Produits sur certaines Plateformes de vente, en contrepartie d’une rémunération versée à la Société pour les services fournis dans le cadre des missions définies ci-dessous.</w:t>
      </w:r>
    </w:p>
    <w:p w14:paraId="54101980" w14:textId="003DA8E8"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présentes conditions générales, le</w:t>
      </w:r>
      <w:r w:rsidR="008566EC">
        <w:rPr>
          <w:rFonts w:ascii="Times New Roman" w:eastAsia="Times New Roman" w:hAnsi="Times New Roman" w:cs="Times New Roman"/>
          <w:sz w:val="23"/>
          <w:szCs w:val="23"/>
          <w:lang w:val="fr-BE"/>
        </w:rPr>
        <w:t xml:space="preserve"> contrat</w:t>
      </w:r>
      <w:r w:rsidRPr="008566EC">
        <w:rPr>
          <w:rFonts w:ascii="Times New Roman" w:eastAsia="Times New Roman" w:hAnsi="Times New Roman" w:cs="Times New Roman"/>
          <w:sz w:val="23"/>
          <w:szCs w:val="23"/>
          <w:lang w:val="fr-BE"/>
        </w:rPr>
        <w:t xml:space="preserve"> et ses annexes régissent l’intégralité de la relation contractuelle entre la Société et le Client. Le Client renonce à se prévaloir de ses propres conditions générales et/ou particulières, même si celles-ci prévoient une application exclusive.</w:t>
      </w:r>
    </w:p>
    <w:p w14:paraId="08AF2895"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Aucune disposition du Contrat ne pourra être considérée comme abandonnée, complétée ou modifiée sans la conclusion d’un avenant signé par les Parties.</w:t>
      </w:r>
    </w:p>
    <w:p w14:paraId="42B490E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Pour toute la durée de la relation contractuelle, les présentes stipulations remplacent toutes déclarations, engagements, communications orales ou écrites, acceptations et accords antérieurs entre la Société et le Client.</w:t>
      </w:r>
    </w:p>
    <w:p w14:paraId="2426DCC9" w14:textId="2CF2A196"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présentes conditions générales, le</w:t>
      </w:r>
      <w:r w:rsidR="008566EC">
        <w:rPr>
          <w:rFonts w:ascii="Times New Roman" w:eastAsia="Times New Roman" w:hAnsi="Times New Roman" w:cs="Times New Roman"/>
          <w:sz w:val="23"/>
          <w:szCs w:val="23"/>
          <w:lang w:val="fr-BE"/>
        </w:rPr>
        <w:t xml:space="preserve"> contrat de prestation de services</w:t>
      </w:r>
      <w:r w:rsidRPr="008566EC">
        <w:rPr>
          <w:rFonts w:ascii="Times New Roman" w:eastAsia="Times New Roman" w:hAnsi="Times New Roman" w:cs="Times New Roman"/>
          <w:sz w:val="23"/>
          <w:szCs w:val="23"/>
          <w:lang w:val="fr-BE"/>
        </w:rPr>
        <w:t xml:space="preserve"> et ses annexes constituent ensemble le « Contrat ».</w:t>
      </w:r>
    </w:p>
    <w:p w14:paraId="01F0C4B8"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lastRenderedPageBreak/>
        <w:t>Article 2 — Produits commercialisés</w:t>
      </w:r>
    </w:p>
    <w:p w14:paraId="0CB77514" w14:textId="147B64F9"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Les Produits couverts par le présent Contrat sont ceux commercialisés par le Client et </w:t>
      </w:r>
      <w:r w:rsidR="008566EC">
        <w:rPr>
          <w:rFonts w:ascii="Times New Roman" w:eastAsia="Times New Roman" w:hAnsi="Times New Roman" w:cs="Times New Roman"/>
          <w:sz w:val="23"/>
          <w:szCs w:val="23"/>
          <w:lang w:val="fr-BE"/>
        </w:rPr>
        <w:t>agréer par le Parties.</w:t>
      </w:r>
    </w:p>
    <w:p w14:paraId="75133683"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3 — Exécution du Contrat</w:t>
      </w:r>
    </w:p>
    <w:p w14:paraId="7D1F43E7"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L’exécution du Contrat nécessite une collaboration active et régulière entre les Parties, qui s’engagent à coopérer de bonne foi. Chacune d’elles utilisera tous les moyens appropriés pour garantir la bonne exécution de ses obligations. Les Parties s’engagent à s’informer mutuellement, si nécessaire par écrit, de tout élément susceptible de compromettre la bonne exécution de leurs obligations respectives.</w:t>
      </w:r>
    </w:p>
    <w:p w14:paraId="337CDD72" w14:textId="7777777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3.1 Prestations fournies par la Société</w:t>
      </w:r>
    </w:p>
    <w:p w14:paraId="584820E0"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Société fournit ses Services conformément aux règles usuelles, dans le respect des lois et réglementations applicables, avec loyauté et discrétion. Les missions décrites ci-dessous définissent les services (ci-après les « Services ») fournis au Client.</w:t>
      </w:r>
    </w:p>
    <w:p w14:paraId="62220FA2" w14:textId="7777777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3.1.1 Mission de conseil, d’administration et d’optimisation du compte</w:t>
      </w:r>
    </w:p>
    <w:p w14:paraId="4FBEA705"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Dans le cadre de sa mission d’assistance et de conseil, la Société s’engage à :</w:t>
      </w:r>
    </w:p>
    <w:p w14:paraId="601A5D9B"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assister</w:t>
      </w:r>
      <w:proofErr w:type="gramEnd"/>
      <w:r w:rsidRPr="008566EC">
        <w:rPr>
          <w:rFonts w:ascii="Times New Roman" w:eastAsia="Times New Roman" w:hAnsi="Times New Roman" w:cs="Times New Roman"/>
          <w:sz w:val="23"/>
          <w:szCs w:val="23"/>
          <w:lang w:val="fr-BE"/>
        </w:rPr>
        <w:t xml:space="preserve"> le Client dans la création d’un compte sur les Plateformes de vente ;</w:t>
      </w:r>
    </w:p>
    <w:p w14:paraId="6E85E7A3"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présenter</w:t>
      </w:r>
      <w:proofErr w:type="gramEnd"/>
      <w:r w:rsidRPr="008566EC">
        <w:rPr>
          <w:rFonts w:ascii="Times New Roman" w:eastAsia="Times New Roman" w:hAnsi="Times New Roman" w:cs="Times New Roman"/>
          <w:sz w:val="23"/>
          <w:szCs w:val="23"/>
          <w:lang w:val="fr-BE"/>
        </w:rPr>
        <w:t xml:space="preserve"> aux équipes du Client le fonctionnement de la Plateforme de vente au démarrage ;</w:t>
      </w:r>
    </w:p>
    <w:p w14:paraId="22143A60"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conseiller</w:t>
      </w:r>
      <w:proofErr w:type="gramEnd"/>
      <w:r w:rsidRPr="008566EC">
        <w:rPr>
          <w:rFonts w:ascii="Times New Roman" w:eastAsia="Times New Roman" w:hAnsi="Times New Roman" w:cs="Times New Roman"/>
          <w:sz w:val="23"/>
          <w:szCs w:val="23"/>
          <w:lang w:val="fr-BE"/>
        </w:rPr>
        <w:t xml:space="preserve"> le Client sur l’optimisation de sa présence sur les Plateformes de vente ;</w:t>
      </w:r>
    </w:p>
    <w:p w14:paraId="7D10268D" w14:textId="5CDD61D2"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conseiller</w:t>
      </w:r>
      <w:proofErr w:type="gramEnd"/>
      <w:r w:rsidRPr="008566EC">
        <w:rPr>
          <w:rFonts w:ascii="Times New Roman" w:eastAsia="Times New Roman" w:hAnsi="Times New Roman" w:cs="Times New Roman"/>
          <w:sz w:val="23"/>
          <w:szCs w:val="23"/>
          <w:lang w:val="fr-BE"/>
        </w:rPr>
        <w:t xml:space="preserve"> le Client lors des négociations annuelles avec les Plateformes de vente ;</w:t>
      </w:r>
    </w:p>
    <w:p w14:paraId="6FA3D978"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administrer</w:t>
      </w:r>
      <w:proofErr w:type="gramEnd"/>
      <w:r w:rsidRPr="008566EC">
        <w:rPr>
          <w:rFonts w:ascii="Times New Roman" w:eastAsia="Times New Roman" w:hAnsi="Times New Roman" w:cs="Times New Roman"/>
          <w:sz w:val="23"/>
          <w:szCs w:val="23"/>
          <w:lang w:val="fr-BE"/>
        </w:rPr>
        <w:t xml:space="preserve"> le compte du Client sur les Plateformes de vente sélectionnées en collaboration avec le Client, à titre exclusif, à compter de la date d’entrée en vigueur du Contrat et pendant toute sa durée.</w:t>
      </w:r>
    </w:p>
    <w:p w14:paraId="175B767B" w14:textId="47B94E8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3.1.</w:t>
      </w:r>
      <w:r w:rsidR="008566EC">
        <w:rPr>
          <w:rFonts w:ascii="Times New Roman" w:eastAsia="Times New Roman" w:hAnsi="Times New Roman" w:cs="Times New Roman"/>
          <w:b/>
          <w:bCs/>
          <w:color w:val="1F4372"/>
          <w:sz w:val="23"/>
          <w:szCs w:val="23"/>
          <w:lang w:val="fr-BE"/>
        </w:rPr>
        <w:t>2</w:t>
      </w:r>
      <w:r w:rsidRPr="008566EC">
        <w:rPr>
          <w:rFonts w:ascii="Times New Roman" w:eastAsia="Times New Roman" w:hAnsi="Times New Roman" w:cs="Times New Roman"/>
          <w:b/>
          <w:bCs/>
          <w:color w:val="1F4372"/>
          <w:sz w:val="23"/>
          <w:szCs w:val="23"/>
          <w:lang w:val="fr-BE"/>
        </w:rPr>
        <w:t xml:space="preserve"> Garantie de bonne exécution des Services</w:t>
      </w:r>
    </w:p>
    <w:p w14:paraId="2ADD19C9"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 Client est conscient du caractère variable, voire intermittent, des technologies Internet. À cet égard, la Société ne pourra être tenue responsable en cas de refus de référencement des Produits du Client, notamment en raison de nouvelles conditions d’enregistrement sur les Plateformes de vente, d’une modification de l’algorithme des moteurs de recherche, ou encore du blocage du compte du Client par décision de la Plateforme de vente.</w:t>
      </w:r>
    </w:p>
    <w:p w14:paraId="7F330A55"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lastRenderedPageBreak/>
        <w:t>La Société ne pourra être tenue responsable en cas de déréférencement des Produits du Client par une Plateforme de vente et/ou par un moteur de recherche.</w:t>
      </w:r>
    </w:p>
    <w:p w14:paraId="642068AC"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Sauf stipulation expresse contraire, la Société n’est tenue qu’à une obligation de moyens et ne pourra en aucun cas être tenue responsable des dommages indirects subis par le Client, tels que perte de clientèle, perte de revenus, diminution du chiffre d’affaires ou toute autre augmentation des frais généraux.</w:t>
      </w:r>
    </w:p>
    <w:p w14:paraId="4A5C69D2"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Société ne pourra en aucun cas être tenue responsable des dommages directs ou indirects subis par le Client du fait d’erreurs dans la mise en œuvre de codes informatiques, dès lors qu’elle n’intervient pas directement dans la programmation.</w:t>
      </w:r>
    </w:p>
    <w:p w14:paraId="5654873D"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La Société n’est pas responsable du suivi, de la maintenance et de la modification des prix de vente sur la Plateforme de vente (dit « </w:t>
      </w:r>
      <w:proofErr w:type="spellStart"/>
      <w:r w:rsidRPr="008566EC">
        <w:rPr>
          <w:rFonts w:ascii="Times New Roman" w:eastAsia="Times New Roman" w:hAnsi="Times New Roman" w:cs="Times New Roman"/>
          <w:sz w:val="23"/>
          <w:szCs w:val="23"/>
          <w:lang w:val="fr-BE"/>
        </w:rPr>
        <w:t>sell</w:t>
      </w:r>
      <w:proofErr w:type="spellEnd"/>
      <w:r w:rsidRPr="008566EC">
        <w:rPr>
          <w:rFonts w:ascii="Times New Roman" w:eastAsia="Times New Roman" w:hAnsi="Times New Roman" w:cs="Times New Roman"/>
          <w:sz w:val="23"/>
          <w:szCs w:val="23"/>
          <w:lang w:val="fr-BE"/>
        </w:rPr>
        <w:t xml:space="preserve">-in </w:t>
      </w:r>
      <w:proofErr w:type="spellStart"/>
      <w:r w:rsidRPr="008566EC">
        <w:rPr>
          <w:rFonts w:ascii="Times New Roman" w:eastAsia="Times New Roman" w:hAnsi="Times New Roman" w:cs="Times New Roman"/>
          <w:sz w:val="23"/>
          <w:szCs w:val="23"/>
          <w:lang w:val="fr-BE"/>
        </w:rPr>
        <w:t>price</w:t>
      </w:r>
      <w:proofErr w:type="spellEnd"/>
      <w:r w:rsidRPr="008566EC">
        <w:rPr>
          <w:rFonts w:ascii="Times New Roman" w:eastAsia="Times New Roman" w:hAnsi="Times New Roman" w:cs="Times New Roman"/>
          <w:sz w:val="23"/>
          <w:szCs w:val="23"/>
          <w:lang w:val="fr-BE"/>
        </w:rPr>
        <w:t xml:space="preserve"> » sur Amazon) et du prix consommateur (dit « </w:t>
      </w:r>
      <w:proofErr w:type="spellStart"/>
      <w:r w:rsidRPr="008566EC">
        <w:rPr>
          <w:rFonts w:ascii="Times New Roman" w:eastAsia="Times New Roman" w:hAnsi="Times New Roman" w:cs="Times New Roman"/>
          <w:sz w:val="23"/>
          <w:szCs w:val="23"/>
          <w:lang w:val="fr-BE"/>
        </w:rPr>
        <w:t>recommended</w:t>
      </w:r>
      <w:proofErr w:type="spellEnd"/>
      <w:r w:rsidRPr="008566EC">
        <w:rPr>
          <w:rFonts w:ascii="Times New Roman" w:eastAsia="Times New Roman" w:hAnsi="Times New Roman" w:cs="Times New Roman"/>
          <w:sz w:val="23"/>
          <w:szCs w:val="23"/>
          <w:lang w:val="fr-BE"/>
        </w:rPr>
        <w:t xml:space="preserve"> </w:t>
      </w:r>
      <w:proofErr w:type="spellStart"/>
      <w:r w:rsidRPr="008566EC">
        <w:rPr>
          <w:rFonts w:ascii="Times New Roman" w:eastAsia="Times New Roman" w:hAnsi="Times New Roman" w:cs="Times New Roman"/>
          <w:sz w:val="23"/>
          <w:szCs w:val="23"/>
          <w:lang w:val="fr-BE"/>
        </w:rPr>
        <w:t>selling</w:t>
      </w:r>
      <w:proofErr w:type="spellEnd"/>
      <w:r w:rsidRPr="008566EC">
        <w:rPr>
          <w:rFonts w:ascii="Times New Roman" w:eastAsia="Times New Roman" w:hAnsi="Times New Roman" w:cs="Times New Roman"/>
          <w:sz w:val="23"/>
          <w:szCs w:val="23"/>
          <w:lang w:val="fr-BE"/>
        </w:rPr>
        <w:t xml:space="preserve"> </w:t>
      </w:r>
      <w:proofErr w:type="spellStart"/>
      <w:r w:rsidRPr="008566EC">
        <w:rPr>
          <w:rFonts w:ascii="Times New Roman" w:eastAsia="Times New Roman" w:hAnsi="Times New Roman" w:cs="Times New Roman"/>
          <w:sz w:val="23"/>
          <w:szCs w:val="23"/>
          <w:lang w:val="fr-BE"/>
        </w:rPr>
        <w:t>price</w:t>
      </w:r>
      <w:proofErr w:type="spellEnd"/>
      <w:r w:rsidRPr="008566EC">
        <w:rPr>
          <w:rFonts w:ascii="Times New Roman" w:eastAsia="Times New Roman" w:hAnsi="Times New Roman" w:cs="Times New Roman"/>
          <w:sz w:val="23"/>
          <w:szCs w:val="23"/>
          <w:lang w:val="fr-BE"/>
        </w:rPr>
        <w:t xml:space="preserve"> » ou « </w:t>
      </w:r>
      <w:proofErr w:type="spellStart"/>
      <w:r w:rsidRPr="008566EC">
        <w:rPr>
          <w:rFonts w:ascii="Times New Roman" w:eastAsia="Times New Roman" w:hAnsi="Times New Roman" w:cs="Times New Roman"/>
          <w:sz w:val="23"/>
          <w:szCs w:val="23"/>
          <w:lang w:val="fr-BE"/>
        </w:rPr>
        <w:t>sell</w:t>
      </w:r>
      <w:proofErr w:type="spellEnd"/>
      <w:r w:rsidRPr="008566EC">
        <w:rPr>
          <w:rFonts w:ascii="Times New Roman" w:eastAsia="Times New Roman" w:hAnsi="Times New Roman" w:cs="Times New Roman"/>
          <w:sz w:val="23"/>
          <w:szCs w:val="23"/>
          <w:lang w:val="fr-BE"/>
        </w:rPr>
        <w:t xml:space="preserve">-out </w:t>
      </w:r>
      <w:proofErr w:type="spellStart"/>
      <w:r w:rsidRPr="008566EC">
        <w:rPr>
          <w:rFonts w:ascii="Times New Roman" w:eastAsia="Times New Roman" w:hAnsi="Times New Roman" w:cs="Times New Roman"/>
          <w:sz w:val="23"/>
          <w:szCs w:val="23"/>
          <w:lang w:val="fr-BE"/>
        </w:rPr>
        <w:t>price</w:t>
      </w:r>
      <w:proofErr w:type="spellEnd"/>
      <w:r w:rsidRPr="008566EC">
        <w:rPr>
          <w:rFonts w:ascii="Times New Roman" w:eastAsia="Times New Roman" w:hAnsi="Times New Roman" w:cs="Times New Roman"/>
          <w:sz w:val="23"/>
          <w:szCs w:val="23"/>
          <w:lang w:val="fr-BE"/>
        </w:rPr>
        <w:t xml:space="preserve"> all taxes </w:t>
      </w:r>
      <w:proofErr w:type="spellStart"/>
      <w:r w:rsidRPr="008566EC">
        <w:rPr>
          <w:rFonts w:ascii="Times New Roman" w:eastAsia="Times New Roman" w:hAnsi="Times New Roman" w:cs="Times New Roman"/>
          <w:sz w:val="23"/>
          <w:szCs w:val="23"/>
          <w:lang w:val="fr-BE"/>
        </w:rPr>
        <w:t>included</w:t>
      </w:r>
      <w:proofErr w:type="spellEnd"/>
      <w:r w:rsidRPr="008566EC">
        <w:rPr>
          <w:rFonts w:ascii="Times New Roman" w:eastAsia="Times New Roman" w:hAnsi="Times New Roman" w:cs="Times New Roman"/>
          <w:sz w:val="23"/>
          <w:szCs w:val="23"/>
          <w:lang w:val="fr-BE"/>
        </w:rPr>
        <w:t xml:space="preserve"> » sur Amazon), ainsi que du taux et du montant de TVA applicables. Le Client s’engage à surveiller l’ensemble des éléments de prix, d’expédition et de TVA pendant toute la durée du Contrat.</w:t>
      </w:r>
    </w:p>
    <w:p w14:paraId="70EDC7C1" w14:textId="7777777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3.2 Engagement du Client</w:t>
      </w:r>
    </w:p>
    <w:p w14:paraId="6D152B53"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b/>
          <w:bCs/>
          <w:color w:val="0F1F38"/>
          <w:sz w:val="23"/>
          <w:szCs w:val="23"/>
          <w:lang w:val="fr-BE"/>
        </w:rPr>
        <w:t>Exclusivité</w:t>
      </w:r>
    </w:p>
    <w:p w14:paraId="602C04DD" w14:textId="768DE90A"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Le Client confie à la Société, qui l’accepte, la fourniture exclusive des Services </w:t>
      </w:r>
      <w:r w:rsidR="00CF2755">
        <w:rPr>
          <w:rFonts w:ascii="Times New Roman" w:eastAsia="Times New Roman" w:hAnsi="Times New Roman" w:cs="Times New Roman"/>
          <w:sz w:val="23"/>
          <w:szCs w:val="23"/>
          <w:lang w:val="fr-BE"/>
        </w:rPr>
        <w:t>confiés</w:t>
      </w:r>
      <w:r w:rsidR="00B5310A">
        <w:rPr>
          <w:rFonts w:ascii="Times New Roman" w:eastAsia="Times New Roman" w:hAnsi="Times New Roman" w:cs="Times New Roman"/>
          <w:sz w:val="23"/>
          <w:szCs w:val="23"/>
          <w:lang w:val="fr-BE"/>
        </w:rPr>
        <w:t xml:space="preserve"> dans le contrat de prestation de services</w:t>
      </w:r>
      <w:r w:rsidRPr="008566EC">
        <w:rPr>
          <w:rFonts w:ascii="Times New Roman" w:eastAsia="Times New Roman" w:hAnsi="Times New Roman" w:cs="Times New Roman"/>
          <w:sz w:val="23"/>
          <w:szCs w:val="23"/>
          <w:lang w:val="fr-BE"/>
        </w:rPr>
        <w:t>.</w:t>
      </w:r>
    </w:p>
    <w:p w14:paraId="13C379EA"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missions confiées à la Société lui donnent la gestion exclusive des Produits commercialisés sur les Plateformes de vente dans le cadre du présent Contrat.</w:t>
      </w:r>
    </w:p>
    <w:p w14:paraId="4D28C180"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 Client s’engage à tenir la Société informée de toute modification apportée au prix des Produits, à ses conditions générales de vente et plus généralement à sa politique commerciale.</w:t>
      </w:r>
    </w:p>
    <w:p w14:paraId="2F942DE2"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 Client s’engage également à informer la Société par écrit de tout changement dans sa situation (notamment changement d’adresse, changement d’équipement, hébergement du site, nouvelle version de tout ou partie du site, modification, même partielle, des URL, etc.).</w:t>
      </w:r>
    </w:p>
    <w:p w14:paraId="62B0FD88"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b/>
          <w:bCs/>
          <w:color w:val="0F1F38"/>
          <w:sz w:val="23"/>
          <w:szCs w:val="23"/>
          <w:lang w:val="fr-BE"/>
        </w:rPr>
        <w:t>Exigences nécessaires à la bonne exécution des Services</w:t>
      </w:r>
    </w:p>
    <w:p w14:paraId="3AFB40B8" w14:textId="121BF659"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Afin d’assurer la bonne exécution des Services fournis par la Société, le Client s’engage à transmettre les éléments suivants. </w:t>
      </w:r>
    </w:p>
    <w:p w14:paraId="53EEA56A"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b/>
          <w:bCs/>
          <w:color w:val="0F1F38"/>
          <w:sz w:val="23"/>
          <w:szCs w:val="23"/>
          <w:lang w:val="fr-BE"/>
        </w:rPr>
        <w:lastRenderedPageBreak/>
        <w:t xml:space="preserve">a) Éléments nécessaires à l’exécution des services d’injection de référencement sur Amazon </w:t>
      </w:r>
      <w:proofErr w:type="spellStart"/>
      <w:r w:rsidRPr="008566EC">
        <w:rPr>
          <w:rFonts w:ascii="Times New Roman" w:eastAsia="Times New Roman" w:hAnsi="Times New Roman" w:cs="Times New Roman"/>
          <w:b/>
          <w:bCs/>
          <w:color w:val="0F1F38"/>
          <w:sz w:val="23"/>
          <w:szCs w:val="23"/>
          <w:lang w:val="fr-BE"/>
        </w:rPr>
        <w:t>Vendor</w:t>
      </w:r>
      <w:proofErr w:type="spellEnd"/>
      <w:r w:rsidRPr="008566EC">
        <w:rPr>
          <w:rFonts w:ascii="Times New Roman" w:eastAsia="Times New Roman" w:hAnsi="Times New Roman" w:cs="Times New Roman"/>
          <w:b/>
          <w:bCs/>
          <w:color w:val="0F1F38"/>
          <w:sz w:val="23"/>
          <w:szCs w:val="23"/>
          <w:lang w:val="fr-BE"/>
        </w:rPr>
        <w:t xml:space="preserve"> et/ou Seller Central</w:t>
      </w:r>
    </w:p>
    <w:p w14:paraId="054CB3CB"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La matrice standard Amazon </w:t>
      </w:r>
      <w:proofErr w:type="spellStart"/>
      <w:r w:rsidRPr="008566EC">
        <w:rPr>
          <w:rFonts w:ascii="Times New Roman" w:eastAsia="Times New Roman" w:hAnsi="Times New Roman" w:cs="Times New Roman"/>
          <w:sz w:val="23"/>
          <w:szCs w:val="23"/>
          <w:lang w:val="fr-BE"/>
        </w:rPr>
        <w:t>Vendor</w:t>
      </w:r>
      <w:proofErr w:type="spellEnd"/>
      <w:r w:rsidRPr="008566EC">
        <w:rPr>
          <w:rFonts w:ascii="Times New Roman" w:eastAsia="Times New Roman" w:hAnsi="Times New Roman" w:cs="Times New Roman"/>
          <w:sz w:val="23"/>
          <w:szCs w:val="23"/>
          <w:lang w:val="fr-BE"/>
        </w:rPr>
        <w:t xml:space="preserve"> et/ou Seller Central au format Microsoft Excel doit contenir les champs obligatoires suivants, de manière non exhaustive :</w:t>
      </w:r>
    </w:p>
    <w:p w14:paraId="6A9A35E1" w14:textId="77777777" w:rsidR="006B3DBF" w:rsidRPr="008566EC" w:rsidRDefault="00000000">
      <w:pPr>
        <w:pStyle w:val="ListParagraph"/>
        <w:numPr>
          <w:ilvl w:val="0"/>
          <w:numId w:val="1"/>
        </w:numPr>
        <w:spacing w:before="63" w:after="63" w:line="372" w:lineRule="auto"/>
        <w:rPr>
          <w:lang w:val="fr-BE"/>
        </w:rPr>
      </w:pPr>
      <w:r w:rsidRPr="008566EC">
        <w:rPr>
          <w:rFonts w:ascii="Times New Roman" w:eastAsia="Times New Roman" w:hAnsi="Times New Roman" w:cs="Times New Roman"/>
          <w:b/>
          <w:bCs/>
          <w:color w:val="0F1F38"/>
          <w:sz w:val="23"/>
          <w:szCs w:val="23"/>
          <w:lang w:val="fr-BE"/>
        </w:rPr>
        <w:t>Informations générales sur le produit :</w:t>
      </w:r>
      <w:r w:rsidRPr="008566EC">
        <w:rPr>
          <w:rFonts w:ascii="Times New Roman" w:eastAsia="Times New Roman" w:hAnsi="Times New Roman" w:cs="Times New Roman"/>
          <w:sz w:val="23"/>
          <w:szCs w:val="23"/>
          <w:lang w:val="fr-BE"/>
        </w:rPr>
        <w:t xml:space="preserve"> EAN, SKU, catégorie du produit, type de produit, identifiant du produit (code-barres), marque, fabricant du produit, prix catalogue, prix de vente à Amazon, matériaux, nombre d’articles identiques dans l’unité vendue au client, nombre de pièces, composant de l’article, indication si l’article est fragile.</w:t>
      </w:r>
    </w:p>
    <w:p w14:paraId="3911EF5A" w14:textId="77777777" w:rsidR="006B3DBF" w:rsidRPr="008566EC" w:rsidRDefault="00000000">
      <w:pPr>
        <w:pStyle w:val="ListParagraph"/>
        <w:numPr>
          <w:ilvl w:val="0"/>
          <w:numId w:val="1"/>
        </w:numPr>
        <w:spacing w:before="63" w:after="63" w:line="372" w:lineRule="auto"/>
        <w:rPr>
          <w:lang w:val="fr-BE"/>
        </w:rPr>
      </w:pPr>
      <w:r w:rsidRPr="008566EC">
        <w:rPr>
          <w:rFonts w:ascii="Times New Roman" w:eastAsia="Times New Roman" w:hAnsi="Times New Roman" w:cs="Times New Roman"/>
          <w:b/>
          <w:bCs/>
          <w:color w:val="0F1F38"/>
          <w:sz w:val="23"/>
          <w:szCs w:val="23"/>
          <w:lang w:val="fr-BE"/>
        </w:rPr>
        <w:t>Sécurité et conformité du produit :</w:t>
      </w:r>
      <w:r w:rsidRPr="008566EC">
        <w:rPr>
          <w:rFonts w:ascii="Times New Roman" w:eastAsia="Times New Roman" w:hAnsi="Times New Roman" w:cs="Times New Roman"/>
          <w:sz w:val="23"/>
          <w:szCs w:val="23"/>
          <w:lang w:val="fr-BE"/>
        </w:rPr>
        <w:t xml:space="preserve"> pays d’origine, description de la garantie, indication si des piles sont nécessaires/fournies, nombre de piles, réglementation relative aux marchandises dangereuses.</w:t>
      </w:r>
    </w:p>
    <w:p w14:paraId="001817C8" w14:textId="77777777" w:rsidR="006B3DBF" w:rsidRPr="008566EC" w:rsidRDefault="00000000">
      <w:pPr>
        <w:pStyle w:val="ListParagraph"/>
        <w:numPr>
          <w:ilvl w:val="0"/>
          <w:numId w:val="1"/>
        </w:numPr>
        <w:spacing w:before="63" w:after="63" w:line="372" w:lineRule="auto"/>
        <w:rPr>
          <w:lang w:val="fr-BE"/>
        </w:rPr>
      </w:pPr>
      <w:r w:rsidRPr="008566EC">
        <w:rPr>
          <w:rFonts w:ascii="Times New Roman" w:eastAsia="Times New Roman" w:hAnsi="Times New Roman" w:cs="Times New Roman"/>
          <w:b/>
          <w:bCs/>
          <w:color w:val="0F1F38"/>
          <w:sz w:val="23"/>
          <w:szCs w:val="23"/>
          <w:lang w:val="fr-BE"/>
        </w:rPr>
        <w:t>Informations logistiques sur le produit :</w:t>
      </w:r>
      <w:r w:rsidRPr="008566EC">
        <w:rPr>
          <w:rFonts w:ascii="Times New Roman" w:eastAsia="Times New Roman" w:hAnsi="Times New Roman" w:cs="Times New Roman"/>
          <w:sz w:val="23"/>
          <w:szCs w:val="23"/>
          <w:lang w:val="fr-BE"/>
        </w:rPr>
        <w:t xml:space="preserve"> poids, longueur, largeur, hauteur, longueur de l’article, poids de l’emballage, conditionnement : nombre de colis par boîte, nombre de boîtes.</w:t>
      </w:r>
    </w:p>
    <w:p w14:paraId="19881C8F"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b/>
          <w:bCs/>
          <w:color w:val="0F1F38"/>
          <w:sz w:val="23"/>
          <w:szCs w:val="23"/>
          <w:lang w:val="fr-BE"/>
        </w:rPr>
        <w:t>b) Éléments nécessaires à la fourniture de services de création de contenu optimisé</w:t>
      </w:r>
    </w:p>
    <w:p w14:paraId="15BC5C1D" w14:textId="11965F8D"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éléments créatifs sont les suivants :</w:t>
      </w:r>
    </w:p>
    <w:p w14:paraId="762686EB"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w:t>
      </w:r>
      <w:proofErr w:type="gramEnd"/>
      <w:r w:rsidRPr="008566EC">
        <w:rPr>
          <w:rFonts w:ascii="Times New Roman" w:eastAsia="Times New Roman" w:hAnsi="Times New Roman" w:cs="Times New Roman"/>
          <w:sz w:val="23"/>
          <w:szCs w:val="23"/>
          <w:lang w:val="fr-BE"/>
        </w:rPr>
        <w:t xml:space="preserve"> numéro d’enregistrement de la marque dans Amazon Brand </w:t>
      </w:r>
      <w:proofErr w:type="spellStart"/>
      <w:r w:rsidRPr="008566EC">
        <w:rPr>
          <w:rFonts w:ascii="Times New Roman" w:eastAsia="Times New Roman" w:hAnsi="Times New Roman" w:cs="Times New Roman"/>
          <w:sz w:val="23"/>
          <w:szCs w:val="23"/>
          <w:lang w:val="fr-BE"/>
        </w:rPr>
        <w:t>Registry</w:t>
      </w:r>
      <w:proofErr w:type="spellEnd"/>
      <w:r w:rsidRPr="008566EC">
        <w:rPr>
          <w:rFonts w:ascii="Times New Roman" w:eastAsia="Times New Roman" w:hAnsi="Times New Roman" w:cs="Times New Roman"/>
          <w:sz w:val="23"/>
          <w:szCs w:val="23"/>
          <w:lang w:val="fr-BE"/>
        </w:rPr>
        <w:t xml:space="preserve">, obligatoire pour la création et l’optimisation du contenu, des pages A+ et des Stores, dans chaque pays concerné, ainsi que le partage </w:t>
      </w:r>
      <w:proofErr w:type="gramStart"/>
      <w:r w:rsidRPr="008566EC">
        <w:rPr>
          <w:rFonts w:ascii="Times New Roman" w:eastAsia="Times New Roman" w:hAnsi="Times New Roman" w:cs="Times New Roman"/>
          <w:sz w:val="23"/>
          <w:szCs w:val="23"/>
          <w:lang w:val="fr-BE"/>
        </w:rPr>
        <w:t>des droits administrateur</w:t>
      </w:r>
      <w:proofErr w:type="gramEnd"/>
      <w:r w:rsidRPr="008566EC">
        <w:rPr>
          <w:rFonts w:ascii="Times New Roman" w:eastAsia="Times New Roman" w:hAnsi="Times New Roman" w:cs="Times New Roman"/>
          <w:sz w:val="23"/>
          <w:szCs w:val="23"/>
          <w:lang w:val="fr-BE"/>
        </w:rPr>
        <w:t xml:space="preserve"> avec la Société pour la création de contenu ;</w:t>
      </w:r>
    </w:p>
    <w:p w14:paraId="3F12E307"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w:t>
      </w:r>
      <w:proofErr w:type="gramEnd"/>
      <w:r w:rsidRPr="008566EC">
        <w:rPr>
          <w:rFonts w:ascii="Times New Roman" w:eastAsia="Times New Roman" w:hAnsi="Times New Roman" w:cs="Times New Roman"/>
          <w:sz w:val="23"/>
          <w:szCs w:val="23"/>
          <w:lang w:val="fr-BE"/>
        </w:rPr>
        <w:t xml:space="preserve"> logo de la marque en haute définition ;</w:t>
      </w:r>
    </w:p>
    <w:p w14:paraId="529C4E8C"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la</w:t>
      </w:r>
      <w:proofErr w:type="gramEnd"/>
      <w:r w:rsidRPr="008566EC">
        <w:rPr>
          <w:rFonts w:ascii="Times New Roman" w:eastAsia="Times New Roman" w:hAnsi="Times New Roman" w:cs="Times New Roman"/>
          <w:sz w:val="23"/>
          <w:szCs w:val="23"/>
          <w:lang w:val="fr-BE"/>
        </w:rPr>
        <w:t xml:space="preserve"> charte graphique (typographie, couleurs hexadécimales) ;</w:t>
      </w:r>
    </w:p>
    <w:p w14:paraId="517E23E1"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les</w:t>
      </w:r>
      <w:proofErr w:type="gramEnd"/>
      <w:r w:rsidRPr="008566EC">
        <w:rPr>
          <w:rFonts w:ascii="Times New Roman" w:eastAsia="Times New Roman" w:hAnsi="Times New Roman" w:cs="Times New Roman"/>
          <w:sz w:val="23"/>
          <w:szCs w:val="23"/>
          <w:lang w:val="fr-BE"/>
        </w:rPr>
        <w:t xml:space="preserve"> visuels HD des catégories, sous-catégories de produits et visuels de marque ;</w:t>
      </w:r>
    </w:p>
    <w:p w14:paraId="6F335277"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les</w:t>
      </w:r>
      <w:proofErr w:type="gramEnd"/>
      <w:r w:rsidRPr="008566EC">
        <w:rPr>
          <w:rFonts w:ascii="Times New Roman" w:eastAsia="Times New Roman" w:hAnsi="Times New Roman" w:cs="Times New Roman"/>
          <w:sz w:val="23"/>
          <w:szCs w:val="23"/>
          <w:lang w:val="fr-BE"/>
        </w:rPr>
        <w:t xml:space="preserve"> éléments graphiques du Client, s’ils existent.</w:t>
      </w:r>
    </w:p>
    <w:p w14:paraId="713CDDB8"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4 — Livraison des Produits et gestion des stocks</w:t>
      </w:r>
    </w:p>
    <w:p w14:paraId="4712CFE8"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livraison des Produits relève de la responsabilité du Client. En aucun cas la Société ne pourra être tenue responsable des problèmes liés à la livraison, tels que livraison hors délais, rupture de stock, livraison incomplète ou mauvaise manipulation des Produits lors de leur livraison ou réception.</w:t>
      </w:r>
    </w:p>
    <w:p w14:paraId="37BEDF0F"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lastRenderedPageBreak/>
        <w:t>Le Client est seul responsable de la livraison des Produits conformément aux réglementations locales, y compris les réglementations douanières ou l’accord des autorités locales pour la vente de ses Produits sur le territoire couvert par le présent Contrat. La Société n’est pas compétente pour conseiller le Client en matière douanière, fiscale, comptable, juridique ou d’exportation concernant ses Produits.</w:t>
      </w:r>
    </w:p>
    <w:p w14:paraId="30800BE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Société peut mettre le Client en relation avec des prestataires logistiques, fiscaux ou juridiques, mais ne pourra en aucun cas être tenue responsable d’un manquement de ces prestataires.</w:t>
      </w:r>
    </w:p>
    <w:p w14:paraId="3B5490E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qualité des Produits relève de la responsabilité du Client. En aucun cas la Société ne pourra être tenue responsable des problèmes relatifs à la qualité des Produits, tels que des produits défectueux.</w:t>
      </w:r>
    </w:p>
    <w:p w14:paraId="3646CEEC"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5 — Responsabilité du Client et garantie</w:t>
      </w:r>
    </w:p>
    <w:p w14:paraId="557CFCA3"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 Client garantit disposer de tous les droits et/ou autorisations nécessaires et garantit la Société contre toute réclamation éventuelle d’un tiers qui prétendrait détenir un droit de propriété intellectuelle ou industrielle sur tout élément, notamment texte, image, logo, graphique, photo, fichier audio ou vidéo, fichier, logiciel ou base de données que le Client a demandé à la Société d’intégrer dans les Plateformes de vente ou d’utiliser pour sa conception, pour tous les usages de ces éléments par la Société prévus au présent Contrat.</w:t>
      </w:r>
    </w:p>
    <w:p w14:paraId="36F4EF4D"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 Client est responsable de ses propres actes, des obligations légales et contractuelles qui lui incombent et, en particulier, du respect de la législation applicable à son activité et à l’exécution du présent Contrat.</w:t>
      </w:r>
    </w:p>
    <w:p w14:paraId="6D8D4100"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 Client est responsable des dommages directs résultant de l’inexécution ou de la mauvaise exécution de ses obligations au titre du Contrat.</w:t>
      </w:r>
    </w:p>
    <w:p w14:paraId="5F0389A5"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6 — Durée du Contrat</w:t>
      </w:r>
    </w:p>
    <w:p w14:paraId="25C46778" w14:textId="530BBE89"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dispositions relatives à la durée du Contrat sont indiquées dans le</w:t>
      </w:r>
      <w:r w:rsidR="00314A88">
        <w:rPr>
          <w:rFonts w:ascii="Times New Roman" w:eastAsia="Times New Roman" w:hAnsi="Times New Roman" w:cs="Times New Roman"/>
          <w:sz w:val="23"/>
          <w:szCs w:val="23"/>
          <w:lang w:val="fr-BE"/>
        </w:rPr>
        <w:t xml:space="preserve"> contrat de prestation de services</w:t>
      </w:r>
      <w:r w:rsidRPr="008566EC">
        <w:rPr>
          <w:rFonts w:ascii="Times New Roman" w:eastAsia="Times New Roman" w:hAnsi="Times New Roman" w:cs="Times New Roman"/>
          <w:sz w:val="23"/>
          <w:szCs w:val="23"/>
          <w:lang w:val="fr-BE"/>
        </w:rPr>
        <w:t xml:space="preserve">. </w:t>
      </w:r>
    </w:p>
    <w:p w14:paraId="7AC228FA"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7 — Propriété intellectuelle</w:t>
      </w:r>
    </w:p>
    <w:p w14:paraId="05AAFC7B"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restent chacune propriétaires de l’ensemble des droits, y compris les droits de propriété intellectuelle, relatifs au contenu de chacun des sites web, médias et contenus qu’elles publient respectivement et/ou qui sont remis à l’autre Partie dans le cadre du présent Contrat ; le présent Contrat n’emporte aucun transfert desdits droits au bénéfice de l’autre Partie.</w:t>
      </w:r>
    </w:p>
    <w:p w14:paraId="0BA49F54"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lastRenderedPageBreak/>
        <w:t>Le Contrat n’emporte aucune cession ni licence de droits de propriété intellectuelle, à l’exception des autorisations strictement nécessaires à son exécution par la Société.</w:t>
      </w:r>
    </w:p>
    <w:p w14:paraId="4581062C"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Par signes distinctifs, il faut entendre tout signe distinctif, enregistré ou déposé par le Client en tant que marque, ou tout signe protégé plus généralement par un droit de propriété intellectuelle.</w:t>
      </w:r>
    </w:p>
    <w:p w14:paraId="01D6A9B8"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Chaque Partie s’engage à ne pas exploiter les signes distinctifs de l’autre Partie d’une manière contraire à l’ordre public ou aux bonnes mœurs, ni d’une manière susceptible d’être considérée comme trompeuse ou ambiguë, de nature à compromettre, discréditer ou nuire à la réputation, à la notoriété, au prestige et à l’image de l’autre Partie, ou encore de nature à porter atteinte et/ou à limiter les droits de cette dernière sur ses signes distinctifs.</w:t>
      </w:r>
    </w:p>
    <w:p w14:paraId="2339A24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Chaque Partie s’interdit de déposer, par elle-même ou par l’intermédiaire d’un tiers, dans quelque pays que ce soit, sans l’accord écrit préalable de l’autre Partie, une marque et/ou un nom de domaine comprenant et/ou imitant, en tout ou partie, un élément des signes distinctifs de l’autre Partie et susceptible d’entraîner une confusion.</w:t>
      </w:r>
    </w:p>
    <w:p w14:paraId="75126A1C"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Chaque Partie s’engage à informer immédiatement l’autre Partie dès qu’elle a connaissance de tout fait susceptible de porter atteinte à la pleine et entière protection des droits de l’autre Partie sur ses signes distinctifs.</w:t>
      </w:r>
    </w:p>
    <w:p w14:paraId="5E7DA47D"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 Client autorise la Société à utiliser son nom commercial ou ses marques dans sa communication à titre de référence commerciale, sauf refus exprès du Client.</w:t>
      </w:r>
    </w:p>
    <w:p w14:paraId="151C340B"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8 — Données à caractère personnel</w:t>
      </w:r>
    </w:p>
    <w:p w14:paraId="76053B4C"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Société s’interdit expressément d’utiliser les Données à caractère personnel à d’autres fins que dans le cadre des Services qui lui sont confiés au titre du présent Contrat.</w:t>
      </w:r>
    </w:p>
    <w:p w14:paraId="41C0C06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En particulier, la Société s’interdit de proposer une offre commerciale fondée sur les Données à caractère personnel du Client ou de revendre ces Données à des tiers concurrents du Client.</w:t>
      </w:r>
    </w:p>
    <w:p w14:paraId="1AA12720"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Société agit en qualité de responsable du traitement au sens du RGPD dans le cadre de la mise en œuvre de ses propres traitements et de l’utilisation des données à caractère personnel, le cas échéant, dans le cadre de l’exécution du présent Contrat.</w:t>
      </w:r>
    </w:p>
    <w:p w14:paraId="3366C0F4"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À ce titre, le Client autorise la Société à effectuer tout traitement des données à caractère personnel qu’il lui transmet, dans le respect de la finalité susmentionnée.</w:t>
      </w:r>
    </w:p>
    <w:p w14:paraId="080531AD"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lastRenderedPageBreak/>
        <w:t>Chacune des Parties s’engage à prendre toutes les mesures appropriées pour assurer la protection et garantir la sécurité, l’intégrité et la confidentialité des données à caractère personnel qu’elle collecte et traite conformément aux usages usuels.</w:t>
      </w:r>
    </w:p>
    <w:p w14:paraId="4A4F75F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Chacune des Parties s’engage à prendre toutes les précautions nécessaires pour préserver la sécurité des données à caractère personnel qu’elle collecte et traite, notamment pour les protéger contre toute destruction accidentelle ou illicite, perte accidentelle, altération, diffusion ou accès non autorisés, ainsi que contre toute autre forme de traitement ou communication illicite à des personnes non autorisées.</w:t>
      </w:r>
    </w:p>
    <w:p w14:paraId="656C6BF3"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s’engagent à respecter les dispositions légales applicables relatives à la protection des données à caractère personnel et notamment :</w:t>
      </w:r>
    </w:p>
    <w:p w14:paraId="0B763B79"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la</w:t>
      </w:r>
      <w:proofErr w:type="gramEnd"/>
      <w:r w:rsidRPr="008566EC">
        <w:rPr>
          <w:rFonts w:ascii="Times New Roman" w:eastAsia="Times New Roman" w:hAnsi="Times New Roman" w:cs="Times New Roman"/>
          <w:sz w:val="23"/>
          <w:szCs w:val="23"/>
          <w:lang w:val="fr-BE"/>
        </w:rPr>
        <w:t xml:space="preserve"> loi du 8 décembre 1992 relative à la protection de la vie privée ;</w:t>
      </w:r>
    </w:p>
    <w:p w14:paraId="51D43D8A"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w:t>
      </w:r>
      <w:proofErr w:type="gramEnd"/>
      <w:r w:rsidRPr="008566EC">
        <w:rPr>
          <w:rFonts w:ascii="Times New Roman" w:eastAsia="Times New Roman" w:hAnsi="Times New Roman" w:cs="Times New Roman"/>
          <w:sz w:val="23"/>
          <w:szCs w:val="23"/>
          <w:lang w:val="fr-BE"/>
        </w:rPr>
        <w:t xml:space="preserve"> Règlement (UE) 2016/679 du Parlement européen et du Conseil du 27 avril 2016, applicable à compter du 25 mai 2018 ;</w:t>
      </w:r>
    </w:p>
    <w:p w14:paraId="5649B3E5"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les</w:t>
      </w:r>
      <w:proofErr w:type="gramEnd"/>
      <w:r w:rsidRPr="008566EC">
        <w:rPr>
          <w:rFonts w:ascii="Times New Roman" w:eastAsia="Times New Roman" w:hAnsi="Times New Roman" w:cs="Times New Roman"/>
          <w:sz w:val="23"/>
          <w:szCs w:val="23"/>
          <w:lang w:val="fr-BE"/>
        </w:rPr>
        <w:t xml:space="preserve"> codes de bonnes pratiques des professionnels.</w:t>
      </w:r>
    </w:p>
    <w:p w14:paraId="64872D15"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Chaque Partie s’engage à informer l’autre Partie de la survenance de toute violation de sécurité </w:t>
      </w:r>
      <w:proofErr w:type="gramStart"/>
      <w:r w:rsidRPr="008566EC">
        <w:rPr>
          <w:rFonts w:ascii="Times New Roman" w:eastAsia="Times New Roman" w:hAnsi="Times New Roman" w:cs="Times New Roman"/>
          <w:sz w:val="23"/>
          <w:szCs w:val="23"/>
          <w:lang w:val="fr-BE"/>
        </w:rPr>
        <w:t>ayant</w:t>
      </w:r>
      <w:proofErr w:type="gramEnd"/>
      <w:r w:rsidRPr="008566EC">
        <w:rPr>
          <w:rFonts w:ascii="Times New Roman" w:eastAsia="Times New Roman" w:hAnsi="Times New Roman" w:cs="Times New Roman"/>
          <w:sz w:val="23"/>
          <w:szCs w:val="23"/>
          <w:lang w:val="fr-BE"/>
        </w:rPr>
        <w:t xml:space="preserve"> des conséquences directes ou indirectes sur le traitement des Données à caractère personnel, ainsi que de toute réclamation qui pourrait lui être adressée par un visiteur concerné par le traitement effectué dans le cadre du présent Contrat. Cette communication doit intervenir dans les meilleurs délais et au plus tard dans les 48 heures suivant la découverte de la faille de sécurité ou la réception de la réclamation.</w:t>
      </w:r>
    </w:p>
    <w:p w14:paraId="30D9771D"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Chacune des Parties s’engage à ne pas conserver les Données à caractère personnel au-delà de la durée de conservation proportionnée à la finalité du traitement pour laquelle elles ont été collectées, et en tout état de cause, à ne pas les conserver après la fin du présent Contrat, sauf obligation légale ou contractuelle contraire.</w:t>
      </w:r>
    </w:p>
    <w:p w14:paraId="21BB7060"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Chacune des Parties s’engage à coopérer avec les autorités compétentes en matière de protection des données, notamment en cas de demande d’information pouvant leur être adressée à l’occasion d’un contrôle.</w:t>
      </w:r>
    </w:p>
    <w:p w14:paraId="2ED2C860"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9 — Résiliation</w:t>
      </w:r>
    </w:p>
    <w:p w14:paraId="675DD8E0"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b/>
          <w:bCs/>
          <w:color w:val="0F1F38"/>
          <w:sz w:val="23"/>
          <w:szCs w:val="23"/>
          <w:lang w:val="fr-BE"/>
        </w:rPr>
        <w:t>Résiliation hors faute</w:t>
      </w:r>
    </w:p>
    <w:p w14:paraId="1655E697" w14:textId="0B0CA013"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lastRenderedPageBreak/>
        <w:t xml:space="preserve">L’une ou l’autre des Parties peut résilier le Contrat sous réserve du délai de préavis </w:t>
      </w:r>
      <w:r w:rsidR="00314A88">
        <w:rPr>
          <w:rFonts w:ascii="Times New Roman" w:eastAsia="Times New Roman" w:hAnsi="Times New Roman" w:cs="Times New Roman"/>
          <w:sz w:val="23"/>
          <w:szCs w:val="23"/>
          <w:lang w:val="fr-BE"/>
        </w:rPr>
        <w:t>prévu dans le contrat de prestations de services.</w:t>
      </w:r>
    </w:p>
    <w:p w14:paraId="787BE0D4"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b/>
          <w:bCs/>
          <w:color w:val="0F1F38"/>
          <w:sz w:val="23"/>
          <w:szCs w:val="23"/>
          <w:lang w:val="fr-BE"/>
        </w:rPr>
        <w:t>Résiliation pour inexécution</w:t>
      </w:r>
    </w:p>
    <w:p w14:paraId="436D2B23"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En cas de manquement de l’autre Partie à ses obligations au titre du Contrat, chaque Partie a le droit de résilier de plein droit par lettre recommandée avec accusé de réception, 30 jours après une mise en demeure restée sans effet, sans préjudice des dommages et intérêts qui pourraient être réclamés à la Partie défaillante.</w:t>
      </w:r>
    </w:p>
    <w:p w14:paraId="4E1CBCF3"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Cette résiliation sera à la charge de la Partie responsable des obligations contractuelles non exécutées, sauf cas de force majeure.</w:t>
      </w:r>
    </w:p>
    <w:p w14:paraId="3F898AF2"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En cas de résiliation anticipée du Contrat, pour quelque cause que ce soit, les Parties s’engagent, à la date effective de résiliation, à ne plus utiliser le contenu et les signes distinctifs de l’autre Partie.</w:t>
      </w:r>
    </w:p>
    <w:p w14:paraId="1AA4497F"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Il est entendu qu’en cas de résiliation anticipée du Contrat, les sommes versées par le Client à la Société resteront définitivement acquises et ne pourront faire l’objet d’aucun remboursement.</w:t>
      </w:r>
    </w:p>
    <w:p w14:paraId="2BA44FF9"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En revanche, l’ensemble du contenu de la base de données et de l’outil de gestion des visuels restera la propriété du Client et son contenu lui sera restitué au format CSV sur demande, au plus tard dans les 30 jours suivant le dernier jour de Services de la Société. Cette restitution des données et visuels sera conditionnée au paiement par le Client de l’ensemble de ses factures dues à la Société à la date de restitution du contenu. Passé ce délai, les données et visuels du Client seront supprimés de l’outil de gestion de base de données.</w:t>
      </w:r>
    </w:p>
    <w:p w14:paraId="599CDE32"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10 — Confidentialité</w:t>
      </w:r>
    </w:p>
    <w:p w14:paraId="7204FCBA"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s’engagent à n’utiliser, à d’autres fins que la bonne exécution du Contrat, les informations et/ou documents de l’autre Partie qui auraient pu leur être communiqués pendant la durée du Contrat, afin de concurrencer déloyalement, directement ou indirectement, l’autre Partie.</w:t>
      </w:r>
    </w:p>
    <w:p w14:paraId="4460603C"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conviennent que constituent notamment des Informations Confidentielles :</w:t>
      </w:r>
    </w:p>
    <w:p w14:paraId="4058B098"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les</w:t>
      </w:r>
      <w:proofErr w:type="gramEnd"/>
      <w:r w:rsidRPr="008566EC">
        <w:rPr>
          <w:rFonts w:ascii="Times New Roman" w:eastAsia="Times New Roman" w:hAnsi="Times New Roman" w:cs="Times New Roman"/>
          <w:sz w:val="23"/>
          <w:szCs w:val="23"/>
          <w:lang w:val="fr-BE"/>
        </w:rPr>
        <w:t xml:space="preserve"> données à caractère personnel traitées par chacune des Parties dans le cadre de l’exécution du Contrat ;</w:t>
      </w:r>
    </w:p>
    <w:p w14:paraId="257B860C"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toute</w:t>
      </w:r>
      <w:proofErr w:type="gramEnd"/>
      <w:r w:rsidRPr="008566EC">
        <w:rPr>
          <w:rFonts w:ascii="Times New Roman" w:eastAsia="Times New Roman" w:hAnsi="Times New Roman" w:cs="Times New Roman"/>
          <w:sz w:val="23"/>
          <w:szCs w:val="23"/>
          <w:lang w:val="fr-BE"/>
        </w:rPr>
        <w:t xml:space="preserve"> information, analyse, étude et autre document, sous quelque forme que ce soit, relatif à l’existence et au contenu des discussions entre les Parties concernant le Contrat ;</w:t>
      </w:r>
    </w:p>
    <w:p w14:paraId="0ED23123"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lastRenderedPageBreak/>
        <w:t>les</w:t>
      </w:r>
      <w:proofErr w:type="gramEnd"/>
      <w:r w:rsidRPr="008566EC">
        <w:rPr>
          <w:rFonts w:ascii="Times New Roman" w:eastAsia="Times New Roman" w:hAnsi="Times New Roman" w:cs="Times New Roman"/>
          <w:sz w:val="23"/>
          <w:szCs w:val="23"/>
          <w:lang w:val="fr-BE"/>
        </w:rPr>
        <w:t xml:space="preserve"> méthodologies, produits, outils, logiciels, matériels, modèles industriels, données, procédures, règles ou documents de nature technique, juridique, commerciale, financière et bancaire, ainsi que toute autre information exclusive appartenant à l’autre Partie et reçue ou rendue accessible dans le cadre de l’exécution du présent Contrat, quel qu’en soit le support et le format ;</w:t>
      </w:r>
    </w:p>
    <w:p w14:paraId="30B3B6BA"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toute</w:t>
      </w:r>
      <w:proofErr w:type="gramEnd"/>
      <w:r w:rsidRPr="008566EC">
        <w:rPr>
          <w:rFonts w:ascii="Times New Roman" w:eastAsia="Times New Roman" w:hAnsi="Times New Roman" w:cs="Times New Roman"/>
          <w:sz w:val="23"/>
          <w:szCs w:val="23"/>
          <w:lang w:val="fr-BE"/>
        </w:rPr>
        <w:t xml:space="preserve"> autre information identifiée comme confidentielle ;</w:t>
      </w:r>
    </w:p>
    <w:p w14:paraId="7975BB15"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les</w:t>
      </w:r>
      <w:proofErr w:type="gramEnd"/>
      <w:r w:rsidRPr="008566EC">
        <w:rPr>
          <w:rFonts w:ascii="Times New Roman" w:eastAsia="Times New Roman" w:hAnsi="Times New Roman" w:cs="Times New Roman"/>
          <w:sz w:val="23"/>
          <w:szCs w:val="23"/>
          <w:lang w:val="fr-BE"/>
        </w:rPr>
        <w:t xml:space="preserve"> informations relatives à la gestion, aux opérations commerciales et aux activités administratives, financières et marketing des Parties, même celles qui ne sont pas expressément liées aux Services.</w:t>
      </w:r>
    </w:p>
    <w:p w14:paraId="349719B4"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D’une manière générale, les Parties, ainsi que leurs collaborateurs permanents et non permanents et leurs sous-traitants, s’engagent à préserver le secret et la confidentialité des Informations Confidentielles auxquelles ils auront accès dans le cadre de l’exécution du Contrat.</w:t>
      </w:r>
    </w:p>
    <w:p w14:paraId="23C1D8A6"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peuvent divulguer des Informations Confidentielles lorsqu’elles y sont tenues par les lois et réglementations applicables. Chaque Partie s’engage à informer immédiatement l’autre Partie de toute demande de communication d’Informations Confidentielles transmise dans le cadre de l’exécution du Contrat par une autorité administrative, gouvernementale ou judiciaire française ou étrangère, sauf si les lois et réglementations applicables interdisent à une Partie de révéler à l’autre Partie l’existence d’une telle demande d’accès aux Informations Confidentielles.</w:t>
      </w:r>
    </w:p>
    <w:p w14:paraId="5EA10C0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Ces obligations de confidentialité ne s’appliquent pas lorsque :</w:t>
      </w:r>
    </w:p>
    <w:p w14:paraId="635668F0"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les</w:t>
      </w:r>
      <w:proofErr w:type="gramEnd"/>
      <w:r w:rsidRPr="008566EC">
        <w:rPr>
          <w:rFonts w:ascii="Times New Roman" w:eastAsia="Times New Roman" w:hAnsi="Times New Roman" w:cs="Times New Roman"/>
          <w:sz w:val="23"/>
          <w:szCs w:val="23"/>
          <w:lang w:val="fr-BE"/>
        </w:rPr>
        <w:t xml:space="preserve"> Parties peuvent prouver que les Informations Confidentielles leur étaient connues avant la date de signature du Contrat ;</w:t>
      </w:r>
    </w:p>
    <w:p w14:paraId="0504B295"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l’une</w:t>
      </w:r>
      <w:proofErr w:type="gramEnd"/>
      <w:r w:rsidRPr="008566EC">
        <w:rPr>
          <w:rFonts w:ascii="Times New Roman" w:eastAsia="Times New Roman" w:hAnsi="Times New Roman" w:cs="Times New Roman"/>
          <w:sz w:val="23"/>
          <w:szCs w:val="23"/>
          <w:lang w:val="fr-BE"/>
        </w:rPr>
        <w:t xml:space="preserve"> des Parties peut prouver que les Informations Confidentielles résultent d’une activité menée pour ses propres besoins, ou étaient dans le domaine public à la date de leur divulgation ;</w:t>
      </w:r>
    </w:p>
    <w:p w14:paraId="2043A71E"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les</w:t>
      </w:r>
      <w:proofErr w:type="gramEnd"/>
      <w:r w:rsidRPr="008566EC">
        <w:rPr>
          <w:rFonts w:ascii="Times New Roman" w:eastAsia="Times New Roman" w:hAnsi="Times New Roman" w:cs="Times New Roman"/>
          <w:sz w:val="23"/>
          <w:szCs w:val="23"/>
          <w:lang w:val="fr-BE"/>
        </w:rPr>
        <w:t xml:space="preserve"> Informations Confidentielles sont publiquement disponibles par publication ou autre moyen de communication, sauf si cela résulte d’une faute ou d’une négligence de la Partie destinataire ;</w:t>
      </w:r>
    </w:p>
    <w:p w14:paraId="5E6EEB16" w14:textId="77777777" w:rsidR="006B3DBF" w:rsidRPr="008566EC" w:rsidRDefault="00000000">
      <w:pPr>
        <w:pStyle w:val="ListParagraph"/>
        <w:numPr>
          <w:ilvl w:val="0"/>
          <w:numId w:val="1"/>
        </w:numPr>
        <w:spacing w:before="63" w:after="63" w:line="372" w:lineRule="auto"/>
        <w:rPr>
          <w:lang w:val="fr-BE"/>
        </w:rPr>
      </w:pPr>
      <w:proofErr w:type="gramStart"/>
      <w:r w:rsidRPr="008566EC">
        <w:rPr>
          <w:rFonts w:ascii="Times New Roman" w:eastAsia="Times New Roman" w:hAnsi="Times New Roman" w:cs="Times New Roman"/>
          <w:sz w:val="23"/>
          <w:szCs w:val="23"/>
          <w:lang w:val="fr-BE"/>
        </w:rPr>
        <w:t>la</w:t>
      </w:r>
      <w:proofErr w:type="gramEnd"/>
      <w:r w:rsidRPr="008566EC">
        <w:rPr>
          <w:rFonts w:ascii="Times New Roman" w:eastAsia="Times New Roman" w:hAnsi="Times New Roman" w:cs="Times New Roman"/>
          <w:sz w:val="23"/>
          <w:szCs w:val="23"/>
          <w:lang w:val="fr-BE"/>
        </w:rPr>
        <w:t xml:space="preserve"> Partie destinataire peut prouver que l’information lui a été communiquée, ou peut lui être communiquée, par un tiers sans violation d’une obligation de confidentialité.</w:t>
      </w:r>
    </w:p>
    <w:p w14:paraId="603D85E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Ces obligations demeurent en vigueur pendant 24 mois après la fin du Contrat, quelle qu’en soit la cause.</w:t>
      </w:r>
    </w:p>
    <w:p w14:paraId="3345EF3E"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lastRenderedPageBreak/>
        <w:t>Article 11 — Cession</w:t>
      </w:r>
    </w:p>
    <w:p w14:paraId="1CF7E395"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s’interdisent de céder ou transférer, pour quelque cause et sous quelque forme que ce soit, à titre onéreux ou gratuit, le Contrat ou l’un quelconque de ses droits et obligations à un tiers et, en outre, de confier à un tiers, à l’exclusion des sociétés liées à l’une des Parties, l’exécution de tout ou partie de ses obligations contractuelles sans avoir préalablement obtenu l’accord écrit de l’autre Partie.</w:t>
      </w:r>
    </w:p>
    <w:p w14:paraId="6CE29E99"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12 — Force majeure</w:t>
      </w:r>
    </w:p>
    <w:p w14:paraId="4CEB3AC2"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ne peuvent être tenues responsables de l’inexécution de leurs obligations au titre du Contrat si cette inexécution est due à un événement ou à une situation de force majeure indépendante de leur volonté. Pour les besoins du présent Contrat, les cas de force majeure sont ceux habituellement retenus par le droit belge.</w:t>
      </w:r>
    </w:p>
    <w:p w14:paraId="773A02F5"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Partie qui constate l’événement doit immédiatement informer l’autre Partie de son impossibilité d’exécuter ses obligations et le justifier auprès d’elle.</w:t>
      </w:r>
    </w:p>
    <w:p w14:paraId="07907315"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Dans un premier temps, les cas de force majeure suspendent l’exécution du Contrat. La suspension des obligations ne constitue en aucun cas une cause de responsabilité pour inexécution de l’obligation concernée et ne donne pas lieu au paiement de dommages et intérêts.</w:t>
      </w:r>
    </w:p>
    <w:p w14:paraId="4B9BACB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Si les cas de force majeure durent plus de 30 jours, le présent Contrat sera résilié automatiquement et de plein droit, sauf accord contraire des Parties.</w:t>
      </w:r>
    </w:p>
    <w:p w14:paraId="2E3CE7C1"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13 — Assurances</w:t>
      </w:r>
    </w:p>
    <w:p w14:paraId="7193AEB4"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déclarent être titulaires de polices d’assurance garantissant les conséquences financières de leur responsabilité contractuelle susceptible d’être engagée dans le cadre du Contrat.</w:t>
      </w:r>
    </w:p>
    <w:p w14:paraId="49A2163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La responsabilité de la Société est limitée aux dommages directs. Tout préjudice ou dommage indirect, tel que perte financière ou commerciale, perte de profit, dommage causé à des tiers, perte d’opportunité, etc., ne pourra en aucun cas ouvrir droit à indemnisation de la part de la Société.</w:t>
      </w:r>
    </w:p>
    <w:p w14:paraId="6A3A37BB" w14:textId="3F1C6F8A"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En toute hypothèse, l’indemnisation susceptible d’être due par la Société sera limitée, le cas échéant, au montant couvert par l’assurance souscrite par la Société et, en tout état de cause, à un maximum équivalent à </w:t>
      </w:r>
      <w:r w:rsidR="00314A88">
        <w:rPr>
          <w:rFonts w:ascii="Times New Roman" w:eastAsia="Times New Roman" w:hAnsi="Times New Roman" w:cs="Times New Roman"/>
          <w:sz w:val="23"/>
          <w:szCs w:val="23"/>
          <w:lang w:val="fr-BE"/>
        </w:rPr>
        <w:t>6</w:t>
      </w:r>
      <w:r w:rsidRPr="008566EC">
        <w:rPr>
          <w:rFonts w:ascii="Times New Roman" w:eastAsia="Times New Roman" w:hAnsi="Times New Roman" w:cs="Times New Roman"/>
          <w:sz w:val="23"/>
          <w:szCs w:val="23"/>
          <w:lang w:val="fr-BE"/>
        </w:rPr>
        <w:t>0 % de la valeur contractuelle du présent Contrat calculée sur les 12 derniers mois.</w:t>
      </w:r>
    </w:p>
    <w:p w14:paraId="5678EA48"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lastRenderedPageBreak/>
        <w:t>Article 14 — Dispositions générales</w:t>
      </w:r>
    </w:p>
    <w:p w14:paraId="77C0B4D4" w14:textId="7777777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14.1 Intégralité</w:t>
      </w:r>
    </w:p>
    <w:p w14:paraId="36E61FB4"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 Contrat exprime l’intégralité des obligations contractuelles des Parties. Il annule et remplace tout autre accord ou correspondance entre les Parties antérieurs à sa signature et portant sur le même objet. Toute modification de ses stipulations ne pourra intervenir que par la signature par les Parties d’un avenant écrit conclu par des personnes dûment habilitées.</w:t>
      </w:r>
    </w:p>
    <w:p w14:paraId="355B0B71"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Aucune disposition du Contrat ne pourra être réputée écartée, complétée ou modifiée sans un avenant signé par les Parties.</w:t>
      </w:r>
    </w:p>
    <w:p w14:paraId="00D2B9BC" w14:textId="7777777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14.2 Non-renonciation</w:t>
      </w:r>
    </w:p>
    <w:p w14:paraId="2F2BFFF2"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Toute renonciation ou tolérance par l’une des Parties à l’application de tout ou partie des engagements prévus au présent Contrat, quelle qu’en soit la fréquence et la durée, ne saurait être considérée comme une modification du Contrat ni faire naître un quelconque droit.</w:t>
      </w:r>
    </w:p>
    <w:p w14:paraId="4606A58E" w14:textId="7777777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14.3 Validité</w:t>
      </w:r>
    </w:p>
    <w:p w14:paraId="080A183C"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Si une ou plusieurs stipulations du Contrat sont tenues pour nulles ou déclarées telles en application d’une loi, d’un règlement ou à la suite d’une décision définitive d’une juridiction compétente, les autres stipulations du Contrat conserveront toute leur force et leur portée.</w:t>
      </w:r>
    </w:p>
    <w:p w14:paraId="0650774A"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Les Parties conviennent alors de remplacer la clause déclarée nulle par une clause se rapprochant le plus possible, dans son contenu, de la clause initialement adoptée.</w:t>
      </w:r>
    </w:p>
    <w:p w14:paraId="57FCFBEB" w14:textId="7777777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14.4 Indépendance des Parties</w:t>
      </w:r>
    </w:p>
    <w:p w14:paraId="1F593C64"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Dans le cadre du présent Contrat, et expressément, chacune des Parties conserve son entière indépendance. Aucune Partie ne peut valablement engager l’autre Partie ni conclure d’accords au nom et pour le compte de l’autre Partie. Chaque Partie est réputée indépendante de l’autre et rien dans le présent Contrat n’a pour objet ou pour effet de créer entre les Parties une société commune, y compris, sans s’y limiter, une société de fait ou une joint-venture, ni d’établir un rapport de mandat entre les Parties.</w:t>
      </w:r>
    </w:p>
    <w:p w14:paraId="3D6E8FE3" w14:textId="77777777" w:rsidR="006B3DBF" w:rsidRPr="008566EC" w:rsidRDefault="00000000">
      <w:pPr>
        <w:pStyle w:val="Heading3"/>
        <w:spacing w:before="270" w:after="79" w:line="312" w:lineRule="auto"/>
        <w:rPr>
          <w:lang w:val="fr-BE"/>
        </w:rPr>
      </w:pPr>
      <w:r w:rsidRPr="008566EC">
        <w:rPr>
          <w:rFonts w:ascii="Times New Roman" w:eastAsia="Times New Roman" w:hAnsi="Times New Roman" w:cs="Times New Roman"/>
          <w:b/>
          <w:bCs/>
          <w:color w:val="1F4372"/>
          <w:sz w:val="23"/>
          <w:szCs w:val="23"/>
          <w:lang w:val="fr-BE"/>
        </w:rPr>
        <w:t>14.5 Élection de domicile</w:t>
      </w:r>
    </w:p>
    <w:p w14:paraId="5592BCD9" w14:textId="1334B8F6"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 xml:space="preserve">Les Parties élisent respectivement domicile aux adresses figurant dans le </w:t>
      </w:r>
      <w:r w:rsidR="00314A88">
        <w:rPr>
          <w:rFonts w:ascii="Times New Roman" w:eastAsia="Times New Roman" w:hAnsi="Times New Roman" w:cs="Times New Roman"/>
          <w:sz w:val="23"/>
          <w:szCs w:val="23"/>
          <w:lang w:val="fr-BE"/>
        </w:rPr>
        <w:t>contrat de prestation de services</w:t>
      </w:r>
      <w:r w:rsidRPr="008566EC">
        <w:rPr>
          <w:rFonts w:ascii="Times New Roman" w:eastAsia="Times New Roman" w:hAnsi="Times New Roman" w:cs="Times New Roman"/>
          <w:sz w:val="23"/>
          <w:szCs w:val="23"/>
          <w:lang w:val="fr-BE"/>
        </w:rPr>
        <w:t>.</w:t>
      </w:r>
    </w:p>
    <w:p w14:paraId="7963B250" w14:textId="77777777" w:rsidR="006B3DBF" w:rsidRPr="008566EC" w:rsidRDefault="00000000">
      <w:pPr>
        <w:pStyle w:val="Heading2"/>
        <w:spacing w:before="405" w:after="122" w:line="300" w:lineRule="auto"/>
        <w:rPr>
          <w:lang w:val="fr-BE"/>
        </w:rPr>
      </w:pPr>
      <w:r w:rsidRPr="008566EC">
        <w:rPr>
          <w:rFonts w:ascii="Times New Roman" w:eastAsia="Times New Roman" w:hAnsi="Times New Roman" w:cs="Times New Roman"/>
          <w:b/>
          <w:bCs/>
          <w:color w:val="1A3458"/>
          <w:sz w:val="27"/>
          <w:szCs w:val="27"/>
          <w:lang w:val="fr-BE"/>
        </w:rPr>
        <w:t>Article 15 — Droit applicable et règlement des litiges</w:t>
      </w:r>
    </w:p>
    <w:p w14:paraId="00BC8CF8"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lastRenderedPageBreak/>
        <w:t>Le présent Contrat est soumis au droit belge.</w:t>
      </w:r>
    </w:p>
    <w:p w14:paraId="5C78BAC4"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Tout litige pouvant survenir entre les Parties au présent Contrat sera, avant toute procédure judiciaire, soumis à une médiation par un médiateur.</w:t>
      </w:r>
    </w:p>
    <w:p w14:paraId="1EA1E5A5" w14:textId="77777777" w:rsidR="006B3DBF" w:rsidRPr="008566EC" w:rsidRDefault="00000000">
      <w:pPr>
        <w:spacing w:after="158" w:line="372" w:lineRule="auto"/>
        <w:jc w:val="both"/>
        <w:rPr>
          <w:lang w:val="fr-BE"/>
        </w:rPr>
      </w:pPr>
      <w:r w:rsidRPr="008566EC">
        <w:rPr>
          <w:rFonts w:ascii="Times New Roman" w:eastAsia="Times New Roman" w:hAnsi="Times New Roman" w:cs="Times New Roman"/>
          <w:sz w:val="23"/>
          <w:szCs w:val="23"/>
          <w:lang w:val="fr-BE"/>
        </w:rPr>
        <w:t>À défaut de médiation, le litige relatif à l’interprétation ou à l’exécution du présent Contrat, ou consécutif à sa résiliation pour quelque cause que ce soit, y compris en cas de demande incidente ou d’appel en garantie, ou en cas de pluralité de défendeurs, relèvera de la compétence exclusive des juridictions compétentes du ressort de la Cour d’appel de Bruxelles.</w:t>
      </w:r>
    </w:p>
    <w:p w14:paraId="7755BAE8" w14:textId="68A86432" w:rsidR="006B3DBF" w:rsidRDefault="006B3DBF">
      <w:pPr>
        <w:spacing w:before="120" w:line="372" w:lineRule="auto"/>
        <w:jc w:val="center"/>
      </w:pPr>
    </w:p>
    <w:sectPr w:rsidR="006B3DB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rlow">
    <w:charset w:val="00"/>
    <w:family w:val="auto"/>
    <w:pitch w:val="variable"/>
    <w:sig w:usb0="20000007" w:usb1="00000000"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4099C"/>
    <w:multiLevelType w:val="hybridMultilevel"/>
    <w:tmpl w:val="C7546E10"/>
    <w:lvl w:ilvl="0" w:tplc="B96C1400">
      <w:start w:val="1"/>
      <w:numFmt w:val="decimal"/>
      <w:lvlText w:val="%1."/>
      <w:lvlJc w:val="left"/>
      <w:pPr>
        <w:ind w:left="720" w:hanging="360"/>
      </w:pPr>
    </w:lvl>
    <w:lvl w:ilvl="1" w:tplc="850A6228">
      <w:start w:val="1"/>
      <w:numFmt w:val="decimal"/>
      <w:lvlText w:val="%2."/>
      <w:lvlJc w:val="left"/>
      <w:pPr>
        <w:ind w:left="1440" w:hanging="360"/>
      </w:pPr>
    </w:lvl>
    <w:lvl w:ilvl="2" w:tplc="F7E24900">
      <w:start w:val="1"/>
      <w:numFmt w:val="decimal"/>
      <w:lvlText w:val="%3."/>
      <w:lvlJc w:val="left"/>
      <w:pPr>
        <w:ind w:left="2160" w:hanging="360"/>
      </w:pPr>
    </w:lvl>
    <w:lvl w:ilvl="3" w:tplc="F412F17C">
      <w:start w:val="1"/>
      <w:numFmt w:val="decimal"/>
      <w:lvlText w:val="%4."/>
      <w:lvlJc w:val="left"/>
      <w:pPr>
        <w:ind w:left="2880" w:hanging="360"/>
      </w:pPr>
    </w:lvl>
    <w:lvl w:ilvl="4" w:tplc="AF54A30E">
      <w:numFmt w:val="decimal"/>
      <w:lvlText w:val=""/>
      <w:lvlJc w:val="left"/>
    </w:lvl>
    <w:lvl w:ilvl="5" w:tplc="E35614BE">
      <w:numFmt w:val="decimal"/>
      <w:lvlText w:val=""/>
      <w:lvlJc w:val="left"/>
    </w:lvl>
    <w:lvl w:ilvl="6" w:tplc="03CC090E">
      <w:numFmt w:val="decimal"/>
      <w:lvlText w:val=""/>
      <w:lvlJc w:val="left"/>
    </w:lvl>
    <w:lvl w:ilvl="7" w:tplc="C5DC071A">
      <w:numFmt w:val="decimal"/>
      <w:lvlText w:val=""/>
      <w:lvlJc w:val="left"/>
    </w:lvl>
    <w:lvl w:ilvl="8" w:tplc="B61E28F0">
      <w:numFmt w:val="decimal"/>
      <w:lvlText w:val=""/>
      <w:lvlJc w:val="left"/>
    </w:lvl>
  </w:abstractNum>
  <w:abstractNum w:abstractNumId="1" w15:restartNumberingAfterBreak="0">
    <w:nsid w:val="574D78E1"/>
    <w:multiLevelType w:val="hybridMultilevel"/>
    <w:tmpl w:val="6B2A8DB8"/>
    <w:lvl w:ilvl="0" w:tplc="3DDC6B10">
      <w:start w:val="1"/>
      <w:numFmt w:val="bullet"/>
      <w:lvlText w:val="●"/>
      <w:lvlJc w:val="left"/>
      <w:pPr>
        <w:ind w:left="720" w:hanging="360"/>
      </w:pPr>
    </w:lvl>
    <w:lvl w:ilvl="1" w:tplc="B4C0AD3C">
      <w:start w:val="1"/>
      <w:numFmt w:val="bullet"/>
      <w:lvlText w:val="○"/>
      <w:lvlJc w:val="left"/>
      <w:pPr>
        <w:ind w:left="1440" w:hanging="360"/>
      </w:pPr>
    </w:lvl>
    <w:lvl w:ilvl="2" w:tplc="72D4AEDA">
      <w:start w:val="1"/>
      <w:numFmt w:val="bullet"/>
      <w:lvlText w:val="■"/>
      <w:lvlJc w:val="left"/>
      <w:pPr>
        <w:ind w:left="2160" w:hanging="360"/>
      </w:pPr>
    </w:lvl>
    <w:lvl w:ilvl="3" w:tplc="955A307E">
      <w:start w:val="1"/>
      <w:numFmt w:val="bullet"/>
      <w:lvlText w:val="●"/>
      <w:lvlJc w:val="left"/>
      <w:pPr>
        <w:ind w:left="2880" w:hanging="360"/>
      </w:pPr>
    </w:lvl>
    <w:lvl w:ilvl="4" w:tplc="DBBC37BE">
      <w:start w:val="1"/>
      <w:numFmt w:val="bullet"/>
      <w:lvlText w:val="○"/>
      <w:lvlJc w:val="left"/>
      <w:pPr>
        <w:ind w:left="3600" w:hanging="360"/>
      </w:pPr>
    </w:lvl>
    <w:lvl w:ilvl="5" w:tplc="CC649008">
      <w:start w:val="1"/>
      <w:numFmt w:val="bullet"/>
      <w:lvlText w:val="■"/>
      <w:lvlJc w:val="left"/>
      <w:pPr>
        <w:ind w:left="4320" w:hanging="360"/>
      </w:pPr>
    </w:lvl>
    <w:lvl w:ilvl="6" w:tplc="FFB442DE">
      <w:start w:val="1"/>
      <w:numFmt w:val="bullet"/>
      <w:lvlText w:val="●"/>
      <w:lvlJc w:val="left"/>
      <w:pPr>
        <w:ind w:left="5040" w:hanging="360"/>
      </w:pPr>
    </w:lvl>
    <w:lvl w:ilvl="7" w:tplc="8C04E4EA">
      <w:start w:val="1"/>
      <w:numFmt w:val="bullet"/>
      <w:lvlText w:val="●"/>
      <w:lvlJc w:val="left"/>
      <w:pPr>
        <w:ind w:left="5760" w:hanging="360"/>
      </w:pPr>
    </w:lvl>
    <w:lvl w:ilvl="8" w:tplc="A5D6A122">
      <w:start w:val="1"/>
      <w:numFmt w:val="bullet"/>
      <w:lvlText w:val="●"/>
      <w:lvlJc w:val="left"/>
      <w:pPr>
        <w:ind w:left="6480" w:hanging="360"/>
      </w:pPr>
    </w:lvl>
  </w:abstractNum>
  <w:num w:numId="1" w16cid:durableId="19963452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DBF"/>
    <w:rsid w:val="00314A88"/>
    <w:rsid w:val="006B3DBF"/>
    <w:rsid w:val="008566EC"/>
    <w:rsid w:val="00B5310A"/>
    <w:rsid w:val="00CF2755"/>
    <w:rsid w:val="00D60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4A544"/>
  <w15:docId w15:val="{5B27CC72-F5E8-4C4F-945C-570EA6DA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rlow" w:eastAsia="Barlow" w:hAnsi="Barlow" w:cs="Barlow"/>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3631</Words>
  <Characters>20698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Conditions générales de vente - Let It Grow SRL</vt:lpstr>
    </vt:vector>
  </TitlesOfParts>
  <Company>Degroof Petercam</Company>
  <LinksUpToDate>false</LinksUpToDate>
  <CharactersWithSpaces>24281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 - Let It Grow SRL</dc:title>
  <dc:creator>Indosuez</dc:creator>
  <cp:lastModifiedBy>Michael Dumont De Chassart</cp:lastModifiedBy>
  <cp:revision>3</cp:revision>
  <dcterms:created xsi:type="dcterms:W3CDTF">2026-10-16T08:29:00Z</dcterms:created>
  <dcterms:modified xsi:type="dcterms:W3CDTF">2026-10-16T08:54:00Z</dcterms:modified>
</cp:coreProperties>
</file>